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5B1310" w14:textId="77777777" w:rsidR="00C1349B" w:rsidRDefault="00C1349B" w:rsidP="00C1349B">
      <w:pPr>
        <w:jc w:val="center"/>
        <w:rPr>
          <w:sz w:val="22"/>
          <w:szCs w:val="22"/>
        </w:rPr>
      </w:pPr>
      <w:r>
        <w:rPr>
          <w:noProof/>
        </w:rPr>
        <w:drawing>
          <wp:inline distT="0" distB="0" distL="0" distR="0" wp14:anchorId="04DDFCBF" wp14:editId="5335E89A">
            <wp:extent cx="2734056" cy="28346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5">
                      <a:extLst>
                        <a:ext uri="{28A0092B-C50C-407E-A947-70E740481C1C}">
                          <a14:useLocalDpi xmlns:a14="http://schemas.microsoft.com/office/drawing/2010/main" val="0"/>
                        </a:ext>
                      </a:extLst>
                    </a:blip>
                    <a:stretch>
                      <a:fillRect/>
                    </a:stretch>
                  </pic:blipFill>
                  <pic:spPr>
                    <a:xfrm>
                      <a:off x="0" y="0"/>
                      <a:ext cx="2734056" cy="283464"/>
                    </a:xfrm>
                    <a:prstGeom prst="rect">
                      <a:avLst/>
                    </a:prstGeom>
                    <a:noFill/>
                    <a:ln>
                      <a:noFill/>
                    </a:ln>
                  </pic:spPr>
                </pic:pic>
              </a:graphicData>
            </a:graphic>
          </wp:inline>
        </w:drawing>
      </w:r>
    </w:p>
    <w:p w14:paraId="03F70490" w14:textId="77777777" w:rsidR="00C1349B" w:rsidRDefault="00C1349B" w:rsidP="00C1349B">
      <w:pPr>
        <w:jc w:val="center"/>
        <w:rPr>
          <w:sz w:val="22"/>
          <w:szCs w:val="22"/>
        </w:rPr>
      </w:pPr>
    </w:p>
    <w:p w14:paraId="29B26779" w14:textId="628E78C2" w:rsidR="00167CD1" w:rsidRDefault="00167CD1" w:rsidP="00167CD1">
      <w:pPr>
        <w:jc w:val="center"/>
        <w:rPr>
          <w:rFonts w:ascii="Calibri" w:hAnsi="Calibri"/>
          <w:b/>
          <w:sz w:val="32"/>
          <w:szCs w:val="32"/>
        </w:rPr>
      </w:pPr>
      <w:r w:rsidRPr="00167CD1">
        <w:rPr>
          <w:rFonts w:ascii="Calibri" w:hAnsi="Calibri"/>
          <w:b/>
          <w:sz w:val="32"/>
          <w:szCs w:val="32"/>
        </w:rPr>
        <w:t xml:space="preserve">Iraq Oil and Financial Dataset (IOFD) </w:t>
      </w:r>
      <w:r>
        <w:rPr>
          <w:rFonts w:ascii="Calibri" w:hAnsi="Calibri"/>
          <w:b/>
          <w:sz w:val="32"/>
          <w:szCs w:val="32"/>
        </w:rPr>
        <w:t>–</w:t>
      </w:r>
      <w:r w:rsidRPr="00167CD1">
        <w:rPr>
          <w:rFonts w:ascii="Calibri" w:hAnsi="Calibri"/>
          <w:b/>
          <w:sz w:val="32"/>
          <w:szCs w:val="32"/>
        </w:rPr>
        <w:t xml:space="preserve"> Analysis</w:t>
      </w:r>
    </w:p>
    <w:p w14:paraId="0DF2E0D0" w14:textId="0EBB8871" w:rsidR="00167CD1" w:rsidRPr="00167CD1" w:rsidRDefault="00167CD1" w:rsidP="00167CD1">
      <w:pPr>
        <w:jc w:val="center"/>
        <w:rPr>
          <w:rFonts w:ascii="Calibri" w:hAnsi="Calibri"/>
          <w:b/>
          <w:sz w:val="32"/>
          <w:szCs w:val="32"/>
        </w:rPr>
      </w:pPr>
      <w:r>
        <w:rPr>
          <w:rFonts w:ascii="Calibri" w:hAnsi="Calibri"/>
          <w:b/>
          <w:sz w:val="32"/>
          <w:szCs w:val="32"/>
        </w:rPr>
        <w:t>August 2015</w:t>
      </w:r>
      <w:bookmarkStart w:id="0" w:name="_GoBack"/>
      <w:bookmarkEnd w:id="0"/>
    </w:p>
    <w:p w14:paraId="65AC558E" w14:textId="77777777" w:rsidR="00C1349B" w:rsidRDefault="00C1349B" w:rsidP="0061397E">
      <w:pPr>
        <w:jc w:val="both"/>
        <w:rPr>
          <w:rFonts w:ascii="Calibri" w:hAnsi="Calibri"/>
          <w:b/>
          <w:sz w:val="22"/>
          <w:szCs w:val="22"/>
        </w:rPr>
      </w:pPr>
    </w:p>
    <w:p w14:paraId="46FEEF0E" w14:textId="77777777" w:rsidR="0038296B" w:rsidRDefault="0061397E" w:rsidP="0061397E">
      <w:pPr>
        <w:jc w:val="both"/>
        <w:rPr>
          <w:rFonts w:ascii="Calibri" w:hAnsi="Calibri"/>
          <w:b/>
          <w:sz w:val="22"/>
          <w:szCs w:val="22"/>
        </w:rPr>
      </w:pPr>
      <w:r w:rsidRPr="0061397E">
        <w:rPr>
          <w:rFonts w:ascii="Calibri" w:hAnsi="Calibri"/>
          <w:b/>
          <w:sz w:val="22"/>
          <w:szCs w:val="22"/>
        </w:rPr>
        <w:t>INTRODUCTION</w:t>
      </w:r>
    </w:p>
    <w:p w14:paraId="3D25BB6F" w14:textId="77777777" w:rsidR="0061397E" w:rsidRDefault="0061397E" w:rsidP="0061397E">
      <w:pPr>
        <w:jc w:val="both"/>
        <w:rPr>
          <w:rFonts w:ascii="Calibri" w:hAnsi="Calibri"/>
          <w:b/>
          <w:sz w:val="22"/>
          <w:szCs w:val="22"/>
        </w:rPr>
      </w:pPr>
    </w:p>
    <w:p w14:paraId="39EE0444" w14:textId="0C95107E" w:rsidR="0061397E" w:rsidRDefault="00330E29" w:rsidP="0061397E">
      <w:pPr>
        <w:jc w:val="both"/>
        <w:rPr>
          <w:rFonts w:ascii="Calibri" w:hAnsi="Calibri" w:cs="Calibri"/>
          <w:sz w:val="22"/>
          <w:szCs w:val="22"/>
        </w:rPr>
      </w:pPr>
      <w:r>
        <w:rPr>
          <w:rFonts w:ascii="Calibri" w:hAnsi="Calibri" w:cs="Calibri"/>
          <w:sz w:val="22"/>
          <w:szCs w:val="22"/>
        </w:rPr>
        <w:t>This edition of the IOFD monthly brief focuses on assessing the first three months of data regarding the introduction of the Basra Heavy crude grade. We updated the spreadsheet in June, disaggregating total oil exports from Basra into Basra Light and Basra Heavy. Now with three months of data in hand, we are able to pick up some trends, make some initial observations about the effect of Basra Heavy on Iraq's overall export levels, and see how further export increases probably depend on new developments in Iraq's export infrastructure.  </w:t>
      </w:r>
    </w:p>
    <w:p w14:paraId="4DA66446" w14:textId="77777777" w:rsidR="00330E29" w:rsidRDefault="00330E29" w:rsidP="0061397E">
      <w:pPr>
        <w:jc w:val="both"/>
        <w:rPr>
          <w:rFonts w:ascii="Calibri" w:hAnsi="Calibri"/>
          <w:sz w:val="22"/>
          <w:szCs w:val="22"/>
        </w:rPr>
      </w:pPr>
    </w:p>
    <w:p w14:paraId="7B2664EA" w14:textId="77777777" w:rsidR="0061397E" w:rsidRPr="0061397E" w:rsidRDefault="0061397E" w:rsidP="0061397E">
      <w:pPr>
        <w:jc w:val="both"/>
        <w:rPr>
          <w:rFonts w:ascii="Calibri" w:hAnsi="Calibri"/>
          <w:b/>
          <w:sz w:val="22"/>
          <w:szCs w:val="22"/>
        </w:rPr>
      </w:pPr>
      <w:r w:rsidRPr="0061397E">
        <w:rPr>
          <w:rFonts w:ascii="Calibri" w:hAnsi="Calibri"/>
          <w:b/>
          <w:sz w:val="22"/>
          <w:szCs w:val="22"/>
        </w:rPr>
        <w:t>ANALYSIS</w:t>
      </w:r>
    </w:p>
    <w:p w14:paraId="0AFA5867" w14:textId="77777777" w:rsidR="0061397E" w:rsidRDefault="0061397E" w:rsidP="0061397E">
      <w:pPr>
        <w:jc w:val="both"/>
        <w:rPr>
          <w:rFonts w:ascii="Calibri" w:hAnsi="Calibri"/>
          <w:sz w:val="22"/>
          <w:szCs w:val="22"/>
        </w:rPr>
      </w:pPr>
    </w:p>
    <w:p w14:paraId="6C0E5F22" w14:textId="5766EB8B" w:rsidR="0035212B" w:rsidRDefault="00330E29" w:rsidP="0061397E">
      <w:pPr>
        <w:jc w:val="both"/>
        <w:rPr>
          <w:rFonts w:ascii="Calibri" w:hAnsi="Calibri" w:cs="Calibri"/>
          <w:sz w:val="22"/>
          <w:szCs w:val="22"/>
        </w:rPr>
      </w:pPr>
      <w:r>
        <w:rPr>
          <w:rFonts w:ascii="Calibri" w:hAnsi="Calibri" w:cs="Calibri"/>
          <w:sz w:val="22"/>
          <w:szCs w:val="22"/>
        </w:rPr>
        <w:t>As noted in the June IOFD monthly brief, we added rows (12 and 13) to the 2015 spreadsheet with the inception of Basra Heavy to provide a disaggregated look at Basra exports.  Three months in to the Basra Light/Basra Heavy split, Basra Heavy export volumes continue to grow month on month. However, though total exports remain above monthly averages for the first five months of 2015 (i.e., prior to the Basra Light/Basra Heavy split) those gains have plateaued, despite continued increases in Basra Heavy. </w:t>
      </w:r>
    </w:p>
    <w:p w14:paraId="22672337" w14:textId="77777777" w:rsidR="00330E29" w:rsidRDefault="00330E29" w:rsidP="0061397E">
      <w:pPr>
        <w:jc w:val="both"/>
        <w:rPr>
          <w:rFonts w:ascii="Calibri" w:hAnsi="Calibri"/>
          <w:sz w:val="22"/>
          <w:szCs w:val="22"/>
        </w:rPr>
      </w:pPr>
    </w:p>
    <w:p w14:paraId="7E649615" w14:textId="23291AFE" w:rsidR="0035212B" w:rsidRDefault="0035212B" w:rsidP="0035212B">
      <w:pPr>
        <w:jc w:val="center"/>
        <w:rPr>
          <w:rFonts w:ascii="Calibri" w:hAnsi="Calibri"/>
          <w:sz w:val="22"/>
          <w:szCs w:val="22"/>
        </w:rPr>
      </w:pPr>
      <w:r>
        <w:rPr>
          <w:noProof/>
        </w:rPr>
        <w:drawing>
          <wp:inline distT="0" distB="0" distL="0" distR="0" wp14:anchorId="7AFD3C0A" wp14:editId="3DE64C60">
            <wp:extent cx="4572000" cy="2743200"/>
            <wp:effectExtent l="0" t="0" r="25400"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F6EBFD4" w14:textId="77777777" w:rsidR="0035212B" w:rsidRPr="0035212B" w:rsidRDefault="0035212B" w:rsidP="0035212B">
      <w:pPr>
        <w:rPr>
          <w:rFonts w:ascii="Calibri" w:hAnsi="Calibri"/>
          <w:sz w:val="22"/>
          <w:szCs w:val="22"/>
        </w:rPr>
      </w:pPr>
    </w:p>
    <w:p w14:paraId="4D89297D" w14:textId="77777777" w:rsidR="00330E29" w:rsidRDefault="00330E29" w:rsidP="00330E29">
      <w:pPr>
        <w:widowControl w:val="0"/>
        <w:autoSpaceDE w:val="0"/>
        <w:autoSpaceDN w:val="0"/>
        <w:adjustRightInd w:val="0"/>
        <w:jc w:val="both"/>
        <w:rPr>
          <w:rFonts w:ascii="Calibri" w:hAnsi="Calibri" w:cs="Calibri"/>
          <w:sz w:val="28"/>
          <w:szCs w:val="28"/>
        </w:rPr>
      </w:pPr>
      <w:r>
        <w:rPr>
          <w:rFonts w:ascii="Calibri" w:hAnsi="Calibri" w:cs="Calibri"/>
          <w:i/>
          <w:iCs/>
          <w:sz w:val="22"/>
          <w:szCs w:val="22"/>
        </w:rPr>
        <w:t>Note: for April and May Basra Light and Total export volumes are one and the same</w:t>
      </w:r>
    </w:p>
    <w:p w14:paraId="31772227" w14:textId="220973A8" w:rsidR="0035212B" w:rsidRDefault="00330E29" w:rsidP="00330E29">
      <w:pPr>
        <w:jc w:val="both"/>
        <w:rPr>
          <w:rFonts w:ascii="Calibri" w:hAnsi="Calibri" w:cs="Calibri"/>
          <w:i/>
          <w:iCs/>
          <w:sz w:val="22"/>
          <w:szCs w:val="22"/>
        </w:rPr>
      </w:pPr>
      <w:r>
        <w:rPr>
          <w:rFonts w:ascii="Calibri" w:hAnsi="Calibri" w:cs="Calibri"/>
          <w:i/>
          <w:iCs/>
          <w:sz w:val="22"/>
          <w:szCs w:val="22"/>
        </w:rPr>
        <w:t>*Note: IORs export volumes are based on the date tankers complete loading. SOMO monthly figures are based on the date crude is loaded onto a tanker. As a result, IOR and SOMO figures may differ</w:t>
      </w:r>
    </w:p>
    <w:p w14:paraId="5FA6C64D" w14:textId="77777777" w:rsidR="00330E29" w:rsidRDefault="00330E29" w:rsidP="00330E29">
      <w:pPr>
        <w:rPr>
          <w:rFonts w:ascii="Calibri" w:hAnsi="Calibri"/>
          <w:sz w:val="22"/>
          <w:szCs w:val="22"/>
        </w:rPr>
      </w:pPr>
    </w:p>
    <w:p w14:paraId="4A42227D" w14:textId="77777777" w:rsidR="00330E29" w:rsidRDefault="00330E29" w:rsidP="00330E29">
      <w:pPr>
        <w:widowControl w:val="0"/>
        <w:autoSpaceDE w:val="0"/>
        <w:autoSpaceDN w:val="0"/>
        <w:adjustRightInd w:val="0"/>
        <w:rPr>
          <w:rFonts w:ascii="Calibri" w:hAnsi="Calibri" w:cs="Calibri"/>
          <w:sz w:val="28"/>
          <w:szCs w:val="28"/>
        </w:rPr>
      </w:pPr>
      <w:r>
        <w:rPr>
          <w:rFonts w:ascii="Calibri" w:hAnsi="Calibri" w:cs="Calibri"/>
          <w:sz w:val="22"/>
          <w:szCs w:val="22"/>
        </w:rPr>
        <w:t xml:space="preserve">In effect, the split has enabled a jump in exports of approximately 250,000 BPD from pre-split </w:t>
      </w:r>
      <w:r>
        <w:rPr>
          <w:rFonts w:ascii="Calibri" w:hAnsi="Calibri" w:cs="Calibri"/>
          <w:sz w:val="22"/>
          <w:szCs w:val="22"/>
        </w:rPr>
        <w:lastRenderedPageBreak/>
        <w:t>levels. However, increases in Basra Heavy loadings from just over 500,000 bpd in June to approximately 900,000 bpd in Aug have been offset by drops in Basra Light volumes. In sum, the introduction of Basra Heavy has enabled incremental production increases at fields producing heavy crude (notably </w:t>
      </w:r>
      <w:proofErr w:type="spellStart"/>
      <w:r>
        <w:rPr>
          <w:rFonts w:ascii="Calibri" w:hAnsi="Calibri" w:cs="Calibri"/>
          <w:sz w:val="22"/>
          <w:szCs w:val="22"/>
        </w:rPr>
        <w:t>Missan</w:t>
      </w:r>
      <w:proofErr w:type="spellEnd"/>
      <w:r>
        <w:rPr>
          <w:rFonts w:ascii="Calibri" w:hAnsi="Calibri" w:cs="Calibri"/>
          <w:sz w:val="22"/>
          <w:szCs w:val="22"/>
        </w:rPr>
        <w:t> province's </w:t>
      </w:r>
      <w:proofErr w:type="spellStart"/>
      <w:r>
        <w:rPr>
          <w:rFonts w:ascii="Calibri" w:hAnsi="Calibri" w:cs="Calibri"/>
          <w:sz w:val="22"/>
          <w:szCs w:val="22"/>
        </w:rPr>
        <w:t>Halfaya</w:t>
      </w:r>
      <w:proofErr w:type="spellEnd"/>
      <w:r>
        <w:rPr>
          <w:rFonts w:ascii="Calibri" w:hAnsi="Calibri" w:cs="Calibri"/>
          <w:sz w:val="22"/>
          <w:szCs w:val="22"/>
        </w:rPr>
        <w:t xml:space="preserve"> field) but it remains to be seen if the grade split will enable </w:t>
      </w:r>
      <w:proofErr w:type="spellStart"/>
      <w:r>
        <w:rPr>
          <w:rFonts w:ascii="Calibri" w:hAnsi="Calibri" w:cs="Calibri"/>
          <w:sz w:val="22"/>
          <w:szCs w:val="22"/>
        </w:rPr>
        <w:t>southernexports</w:t>
      </w:r>
      <w:proofErr w:type="spellEnd"/>
      <w:r>
        <w:rPr>
          <w:rFonts w:ascii="Calibri" w:hAnsi="Calibri" w:cs="Calibri"/>
          <w:sz w:val="22"/>
          <w:szCs w:val="22"/>
        </w:rPr>
        <w:t xml:space="preserve"> to climb much higher than 3 million bpd. </w:t>
      </w:r>
    </w:p>
    <w:p w14:paraId="6631EAE7" w14:textId="77777777" w:rsidR="00330E29" w:rsidRDefault="00330E29" w:rsidP="00330E29">
      <w:pPr>
        <w:widowControl w:val="0"/>
        <w:autoSpaceDE w:val="0"/>
        <w:autoSpaceDN w:val="0"/>
        <w:adjustRightInd w:val="0"/>
        <w:rPr>
          <w:rFonts w:ascii="Calibri" w:hAnsi="Calibri" w:cs="Calibri"/>
          <w:sz w:val="28"/>
          <w:szCs w:val="28"/>
        </w:rPr>
      </w:pPr>
      <w:r>
        <w:rPr>
          <w:rFonts w:ascii="Calibri" w:hAnsi="Calibri" w:cs="Calibri"/>
          <w:sz w:val="22"/>
          <w:szCs w:val="22"/>
        </w:rPr>
        <w:t> </w:t>
      </w:r>
    </w:p>
    <w:p w14:paraId="1EE32DA2" w14:textId="240D836D" w:rsidR="00345D36" w:rsidRDefault="00330E29" w:rsidP="00330E29">
      <w:pPr>
        <w:jc w:val="both"/>
        <w:rPr>
          <w:rFonts w:ascii="Calibri" w:hAnsi="Calibri" w:cs="Calibri"/>
          <w:sz w:val="22"/>
          <w:szCs w:val="22"/>
        </w:rPr>
      </w:pPr>
      <w:r>
        <w:rPr>
          <w:rFonts w:ascii="Calibri" w:hAnsi="Calibri" w:cs="Calibri"/>
          <w:sz w:val="22"/>
          <w:szCs w:val="22"/>
        </w:rPr>
        <w:t>As subscribers will recall from the April IOFD monthly brief, that month we began to track Basra crude exports disaggregated by single point mooring export platforms (SPMs, found on row 14 of the 2015 spreadsheet) and the al-Basra Oil Terminal (ABOT) and </w:t>
      </w:r>
      <w:proofErr w:type="spellStart"/>
      <w:r>
        <w:rPr>
          <w:rFonts w:ascii="Calibri" w:hAnsi="Calibri" w:cs="Calibri"/>
          <w:sz w:val="22"/>
          <w:szCs w:val="22"/>
        </w:rPr>
        <w:t>Khor</w:t>
      </w:r>
      <w:proofErr w:type="spellEnd"/>
      <w:r>
        <w:rPr>
          <w:rFonts w:ascii="Calibri" w:hAnsi="Calibri" w:cs="Calibri"/>
          <w:sz w:val="22"/>
          <w:szCs w:val="22"/>
        </w:rPr>
        <w:t> al-Amaya oil terminal (KAAOT), collectively referred to as BOTs (found on row 15 of the 2015 spreadsheet). Tracking exports disaggregated by SPMs and BOTs from April through August, we can clearly see that while BOT export volumes remain static, SPM volumes have increased significantly. In the three months following the grade split, SPM loadings (averaging approximately 1.37 million bpd) are a full 25% higher than they were in the two months preceding the grade split (when they averaged 1.02 million bpd).</w:t>
      </w:r>
    </w:p>
    <w:p w14:paraId="3577A877" w14:textId="77777777" w:rsidR="00330E29" w:rsidRDefault="00330E29" w:rsidP="00330E29">
      <w:pPr>
        <w:jc w:val="both"/>
        <w:rPr>
          <w:rFonts w:ascii="Calibri" w:hAnsi="Calibri"/>
          <w:sz w:val="22"/>
          <w:szCs w:val="22"/>
        </w:rPr>
      </w:pPr>
    </w:p>
    <w:p w14:paraId="0C5A5B46" w14:textId="598DA66D" w:rsidR="00345D36" w:rsidRDefault="00345D36" w:rsidP="00345D36">
      <w:pPr>
        <w:jc w:val="center"/>
        <w:rPr>
          <w:rFonts w:ascii="Calibri" w:hAnsi="Calibri"/>
          <w:sz w:val="22"/>
          <w:szCs w:val="22"/>
        </w:rPr>
      </w:pPr>
      <w:r>
        <w:rPr>
          <w:noProof/>
        </w:rPr>
        <w:drawing>
          <wp:inline distT="0" distB="0" distL="0" distR="0" wp14:anchorId="2A369A83" wp14:editId="0BD2512F">
            <wp:extent cx="4572000" cy="3314700"/>
            <wp:effectExtent l="0" t="0" r="2540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750F324D" w14:textId="77777777" w:rsidR="00345D36" w:rsidRDefault="00345D36" w:rsidP="00345D36">
      <w:pPr>
        <w:jc w:val="center"/>
        <w:rPr>
          <w:rFonts w:ascii="Calibri" w:hAnsi="Calibri"/>
          <w:sz w:val="22"/>
          <w:szCs w:val="22"/>
        </w:rPr>
      </w:pPr>
    </w:p>
    <w:p w14:paraId="6309BD64" w14:textId="2DEA968C" w:rsidR="00345D36" w:rsidRDefault="00345D36" w:rsidP="00330E29">
      <w:pPr>
        <w:jc w:val="both"/>
        <w:rPr>
          <w:rFonts w:ascii="Calibri" w:hAnsi="Calibri"/>
          <w:sz w:val="22"/>
          <w:szCs w:val="22"/>
        </w:rPr>
      </w:pPr>
    </w:p>
    <w:p w14:paraId="1281D35C" w14:textId="77777777" w:rsidR="00330E29" w:rsidRDefault="00330E29" w:rsidP="00330E29">
      <w:pPr>
        <w:widowControl w:val="0"/>
        <w:autoSpaceDE w:val="0"/>
        <w:autoSpaceDN w:val="0"/>
        <w:adjustRightInd w:val="0"/>
        <w:jc w:val="both"/>
        <w:rPr>
          <w:rFonts w:ascii="Calibri" w:hAnsi="Calibri" w:cs="Calibri"/>
          <w:sz w:val="28"/>
          <w:szCs w:val="28"/>
        </w:rPr>
      </w:pPr>
      <w:r>
        <w:rPr>
          <w:rFonts w:ascii="Calibri" w:hAnsi="Calibri" w:cs="Calibri"/>
          <w:b/>
          <w:bCs/>
          <w:sz w:val="22"/>
          <w:szCs w:val="22"/>
        </w:rPr>
        <w:t>CONCLUSION</w:t>
      </w:r>
    </w:p>
    <w:p w14:paraId="199618BC" w14:textId="77777777" w:rsidR="00330E29" w:rsidRDefault="00330E29" w:rsidP="00330E29">
      <w:pPr>
        <w:widowControl w:val="0"/>
        <w:autoSpaceDE w:val="0"/>
        <w:autoSpaceDN w:val="0"/>
        <w:adjustRightInd w:val="0"/>
        <w:jc w:val="both"/>
        <w:rPr>
          <w:rFonts w:ascii="Calibri" w:hAnsi="Calibri" w:cs="Calibri"/>
          <w:sz w:val="28"/>
          <w:szCs w:val="28"/>
        </w:rPr>
      </w:pPr>
      <w:r>
        <w:rPr>
          <w:rFonts w:ascii="Calibri" w:hAnsi="Calibri" w:cs="Calibri"/>
          <w:sz w:val="22"/>
          <w:szCs w:val="22"/>
        </w:rPr>
        <w:t> </w:t>
      </w:r>
    </w:p>
    <w:p w14:paraId="22A3DC8A" w14:textId="2E3FB37F" w:rsidR="00330E29" w:rsidRDefault="00330E29" w:rsidP="00330E29">
      <w:pPr>
        <w:jc w:val="both"/>
        <w:rPr>
          <w:rFonts w:ascii="Calibri" w:hAnsi="Calibri" w:cs="Calibri"/>
          <w:sz w:val="22"/>
          <w:szCs w:val="22"/>
        </w:rPr>
      </w:pPr>
      <w:r>
        <w:rPr>
          <w:rFonts w:ascii="Calibri" w:hAnsi="Calibri" w:cs="Calibri"/>
          <w:sz w:val="22"/>
          <w:szCs w:val="22"/>
        </w:rPr>
        <w:t>The takeaway here is that while small incremental gains in exports may be achieved via squeezing some more volume out of the BOTs, any real leap forward for Basra exports is predicated on the three SPMs currently in service increasing export volumes to levels near their nameplate capacity. This however will require substantial investment in pumping, storage, and other infrastructure that is unlikely to materialize in 2015. In sum, the grade split can only increase Basra exports so far. Further significant export increases will require additional investment in infrastructure allowing the SPMs to operate closer to nameplate capacity.</w:t>
      </w:r>
    </w:p>
    <w:p w14:paraId="53F81747" w14:textId="77777777" w:rsidR="00C1349B" w:rsidRDefault="00C1349B" w:rsidP="00330E29">
      <w:pPr>
        <w:jc w:val="both"/>
        <w:rPr>
          <w:rFonts w:ascii="Calibri" w:hAnsi="Calibri" w:cs="Calibri"/>
          <w:sz w:val="22"/>
          <w:szCs w:val="22"/>
        </w:rPr>
      </w:pPr>
    </w:p>
    <w:p w14:paraId="6FA1F421" w14:textId="77777777" w:rsidR="00C1349B" w:rsidRDefault="00C1349B" w:rsidP="00330E29">
      <w:pPr>
        <w:jc w:val="both"/>
        <w:rPr>
          <w:rFonts w:ascii="Calibri" w:hAnsi="Calibri" w:cs="Calibri"/>
          <w:sz w:val="22"/>
          <w:szCs w:val="22"/>
        </w:rPr>
      </w:pPr>
    </w:p>
    <w:p w14:paraId="331F8110" w14:textId="77777777" w:rsidR="00C1349B" w:rsidRDefault="00C1349B" w:rsidP="00330E29">
      <w:pPr>
        <w:jc w:val="both"/>
        <w:rPr>
          <w:rFonts w:ascii="Calibri" w:hAnsi="Calibri" w:cs="Calibri"/>
          <w:sz w:val="22"/>
          <w:szCs w:val="22"/>
        </w:rPr>
      </w:pPr>
    </w:p>
    <w:p w14:paraId="5AA70C04" w14:textId="77777777" w:rsidR="00C1349B" w:rsidRDefault="00C1349B" w:rsidP="00330E29">
      <w:pPr>
        <w:jc w:val="both"/>
        <w:rPr>
          <w:rFonts w:ascii="Calibri" w:hAnsi="Calibri" w:cs="Calibri"/>
          <w:sz w:val="22"/>
          <w:szCs w:val="22"/>
        </w:rPr>
      </w:pPr>
    </w:p>
    <w:p w14:paraId="798C28AD" w14:textId="77777777" w:rsidR="00C1349B" w:rsidRDefault="00C1349B" w:rsidP="00C1349B">
      <w:pPr>
        <w:jc w:val="both"/>
        <w:rPr>
          <w:rFonts w:ascii="Calibri" w:hAnsi="Calibri"/>
          <w:sz w:val="16"/>
          <w:szCs w:val="16"/>
        </w:rPr>
      </w:pPr>
    </w:p>
    <w:p w14:paraId="65BA8344" w14:textId="77777777" w:rsidR="00C1349B" w:rsidRPr="00C1349B" w:rsidRDefault="00C1349B" w:rsidP="00C1349B">
      <w:pPr>
        <w:jc w:val="both"/>
        <w:rPr>
          <w:rFonts w:ascii="Calibri" w:hAnsi="Calibri"/>
          <w:sz w:val="16"/>
          <w:szCs w:val="16"/>
        </w:rPr>
      </w:pPr>
      <w:r w:rsidRPr="00C1349B">
        <w:rPr>
          <w:rFonts w:ascii="Calibri" w:hAnsi="Calibri"/>
          <w:sz w:val="16"/>
          <w:szCs w:val="16"/>
        </w:rPr>
        <w:t>Iraq Oil and Financial Dataset (IOFD)</w:t>
      </w:r>
    </w:p>
    <w:p w14:paraId="3F4AB5D9" w14:textId="77777777" w:rsidR="00C1349B" w:rsidRPr="00C1349B" w:rsidRDefault="00C1349B" w:rsidP="00C1349B">
      <w:pPr>
        <w:jc w:val="both"/>
        <w:rPr>
          <w:rFonts w:ascii="Calibri" w:hAnsi="Calibri"/>
          <w:sz w:val="16"/>
          <w:szCs w:val="16"/>
        </w:rPr>
      </w:pPr>
      <w:r w:rsidRPr="00C1349B">
        <w:rPr>
          <w:rFonts w:ascii="Calibri" w:hAnsi="Calibri"/>
          <w:sz w:val="16"/>
          <w:szCs w:val="16"/>
        </w:rPr>
        <w:t>Iraq Oil and Financial Dataset reports, Iraq Oil and Financial Dataset downloads, and Iraq Oil and Financial Dataset emails (herein, collectively, the “Report” or “Reports”) produced by Iraq Oil Report (“IOR”) reflect the analysis and opinions, not the advice, of IOR.  Reports, the copyright and all intellectual property rights of which are reserved exclusively to IOR, are produced for the eyes only of Reports subscribers, and are for informational purposes only.  The opinions and analysis reflected in Reports are based on information obtained from sources IOR considers reliable, but IOR neither guarantees nor represents the completeness or accuracy of such information, nor its analysis and opinions based thereon. IOR’s opinions and analysis do not constitute a warranty of future results.  ALL INFORMATION IN A REPORT IS PROVIDED “AS IS” AND ALL IMPLIED WARRANTIES, INCLUDING WARRANTIES OF MERCHANTABILITY AND FITNESS FOR A PARTICULAR PURPOSE, ARE HEREBY DISCLAIMED.  TO THE FULLEST EXTENT PERMITTED BY LAW IOR WILL NOT BE LIABLE FOR THE QUALITY, ACCURACY, COMPLETENESS, RELIABILITY OR TIMELINESS OF INFORMATION IN A REPORT, OR FOR DAMAGES OR COSTS OF ANY KIND AND NATURE WHICH MAY ARISE OUT OF THE AUTHORIZED OR UNAUTHORIZED USE OF ANY REPORT (INCLUDING BUT NOT LIMITED TO, LOST PROFITS OR OPPORTUNITIES THAT MAY RESULT FROM ANY INACCURACY OR INCOMPLETENESS OF INFORMATION IN A REPORT), WHETHER IN TORT, CONTRACT OR OTHERWISE.  In no event shall IOR’s liability to any subscriber or third party exceed the amount paid by subscriber, if any, for the specific Report from which a claim may derive.  Copyright to the content of all Reports is either owned by IOR, or is licensed thereto.  Reports are generated for the benefit of Report subscribers only; no Report content may be copied, reproduced, published, republished, uploaded, posted, displayed, transmitted, modified, used to prepare derivative works, distributed or redistributed in any way or in any medium whatsoever now known or later invented except pursuant to separate written authorization given by an officer of IOR as to the specific content.  In the event of a subscriber’s breach of the immediately preceding provision, the subscriber shall:  (</w:t>
      </w:r>
      <w:proofErr w:type="spellStart"/>
      <w:r w:rsidRPr="00C1349B">
        <w:rPr>
          <w:rFonts w:ascii="Calibri" w:hAnsi="Calibri"/>
          <w:sz w:val="16"/>
          <w:szCs w:val="16"/>
        </w:rPr>
        <w:t>i</w:t>
      </w:r>
      <w:proofErr w:type="spellEnd"/>
      <w:r w:rsidRPr="00C1349B">
        <w:rPr>
          <w:rFonts w:ascii="Calibri" w:hAnsi="Calibri"/>
          <w:sz w:val="16"/>
          <w:szCs w:val="16"/>
        </w:rPr>
        <w:t xml:space="preserve">) indemnify, defend and hold harmless IOR, its officers, directors, agents, shareholders and representatives, from any and all claims (whether or not a lawsuit or formal claim is filed), damages and costs of any kind and nature, whether in tort, contract or otherwise, which are directly or indirectly related to the subscriber’s breach, whether or not such breach was intended by the subscriber, and (ii) otherwise be liable to IOR for all damages and losses IOR may prove (which the subscriber agrees shall be, at a minimum, equal to the then-current fee typically charged by IOR for a Report, multiplied by the number of unauthorized disclosures made, or other breaches, by the subscriber), plus all costs of collection, including actual attorney fees (whether or not a lawsuit or formal claim is filed).  Subscriber’s accessing the Reports, including pursuant to any free or reduced-cost trial period, constitutes its acceptance of these terms.  Subscriber’s access to the Reports, and any dispute arising out of or relating to the Reports, will be governed by the laws of the State of Michigan, U.S.A., irrespective of its conflicts of laws provisions.  Subscriber, for itself and for any party attempting to make a claim through subscriber, irrevocably agrees that any dispute regarding the Reports or any services provided by IOR shall be submitted to a court of competent jurisdiction sitting Kalamazoo, Michigan, provided however that IOR may pursue injunctive relief in any court having jurisdiction for such actions.  Subscriber, for itself and for any party attempting to make a claim through subscriber, further agrees to submit to the exclusive personal jurisdiction and venue of the federal and state courts located in Kalamazoo, Michigan.  </w:t>
      </w:r>
    </w:p>
    <w:p w14:paraId="5584E10D" w14:textId="7FD06A55" w:rsidR="00C1349B" w:rsidRPr="00C1349B" w:rsidRDefault="00C1349B" w:rsidP="00330E29">
      <w:pPr>
        <w:jc w:val="both"/>
        <w:rPr>
          <w:rFonts w:ascii="Calibri" w:hAnsi="Calibri"/>
          <w:sz w:val="22"/>
          <w:szCs w:val="22"/>
        </w:rPr>
      </w:pPr>
      <w:r w:rsidRPr="00C1349B">
        <w:rPr>
          <w:rFonts w:ascii="Calibri" w:hAnsi="Calibri"/>
          <w:sz w:val="16"/>
          <w:szCs w:val="16"/>
        </w:rPr>
        <w:t>CONFIDENTIALITY NOTICE: This email and any attachments are confidential and intended solely for the use of the intended recipient.  If you are not the intended recipient, please do not read, disclose, copy, or distribute this message or any attachment.  Please notify the sender immediately by e-mail if you believe you received this e-mail in error; please delete this e-mail from your system, and please refrain from opening any attachment.  Intended and unintended recipients of this email and any attachments are hereby notified that copying, disclosing, distributing or taking any action in reliance on the contents of this email, or any attachments, is strictly prohibited unless separate specific written authorization to do so is given by an officer of Iraq Oil Report.  Recipients of this email who copy, disclose, distribute or take action (or refrain from taking action) in reliance on the contents of this email or any attachments, or who cause or influence another party to so take action (or refrain from taking action), without such reliance being specifically authorized in writing by an officer of Iraq Oil Report, shall indemnify, defend and hold harmless Iraq Oil Report, its officers, directors, agents, shareholders and representatives, from any and all claims (whether or not a lawsuit or formal claim is filed), damages and costs of any kind and nature, whether in tort, contract or otherwise.  The information in this email and any attachments is provided “as is” and all implied warranties, including warranties of merchantability and fitness for a particular purpose, are hereby disclaimed.</w:t>
      </w:r>
    </w:p>
    <w:sectPr w:rsidR="00C1349B" w:rsidRPr="00C1349B" w:rsidSect="0038296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auto"/>
    <w:pitch w:val="variable"/>
    <w:sig w:usb0="00000003" w:usb1="00000000" w:usb2="00000000" w:usb3="00000000" w:csb0="00000001" w:csb1="00000000"/>
  </w:font>
  <w:font w:name="HGS明朝E">
    <w:panose1 w:val="00000000000000000000"/>
    <w:charset w:val="80"/>
    <w:family w:val="roman"/>
    <w:notTrueType/>
    <w:pitch w:val="default"/>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97E"/>
    <w:rsid w:val="000B468E"/>
    <w:rsid w:val="00110900"/>
    <w:rsid w:val="00167CD1"/>
    <w:rsid w:val="00330E29"/>
    <w:rsid w:val="00345D36"/>
    <w:rsid w:val="0035212B"/>
    <w:rsid w:val="0038296B"/>
    <w:rsid w:val="005E7E6C"/>
    <w:rsid w:val="0061397E"/>
    <w:rsid w:val="00666B33"/>
    <w:rsid w:val="00757ACD"/>
    <w:rsid w:val="00B4233D"/>
    <w:rsid w:val="00C1349B"/>
    <w:rsid w:val="00F63E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ABD2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1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212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1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21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975872">
      <w:bodyDiv w:val="1"/>
      <w:marLeft w:val="0"/>
      <w:marRight w:val="0"/>
      <w:marTop w:val="0"/>
      <w:marBottom w:val="0"/>
      <w:divBdr>
        <w:top w:val="none" w:sz="0" w:space="0" w:color="auto"/>
        <w:left w:val="none" w:sz="0" w:space="0" w:color="auto"/>
        <w:bottom w:val="none" w:sz="0" w:space="0" w:color="auto"/>
        <w:right w:val="none" w:sz="0" w:space="0" w:color="auto"/>
      </w:divBdr>
    </w:div>
    <w:div w:id="4717976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chart" Target="charts/chart1.xml"/><Relationship Id="rId7" Type="http://schemas.openxmlformats.org/officeDocument/2006/relationships/chart" Target="charts/chart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jared:Dropbox:ior:IOFD:data%20for%20mock%20aug%20iofd%20analysi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jared:Dropbox:ior:IOFD:data%20for%20mock%20aug%20iofd%20analysi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sz="1100">
                <a:latin typeface="Calibri"/>
                <a:cs typeface="Calibri"/>
              </a:rPr>
              <a:t>Basra exports by crude grade*</a:t>
            </a:r>
          </a:p>
        </c:rich>
      </c:tx>
      <c:layout/>
      <c:overlay val="0"/>
    </c:title>
    <c:autoTitleDeleted val="0"/>
    <c:plotArea>
      <c:layout/>
      <c:barChart>
        <c:barDir val="col"/>
        <c:grouping val="clustered"/>
        <c:varyColors val="0"/>
        <c:ser>
          <c:idx val="0"/>
          <c:order val="0"/>
          <c:tx>
            <c:strRef>
              <c:f>'Total by grade'!$D$2</c:f>
              <c:strCache>
                <c:ptCount val="1"/>
                <c:pt idx="0">
                  <c:v>Basra Light</c:v>
                </c:pt>
              </c:strCache>
            </c:strRef>
          </c:tx>
          <c:invertIfNegative val="0"/>
          <c:cat>
            <c:strRef>
              <c:f>'Total by grade'!$E$1:$I$1</c:f>
              <c:strCache>
                <c:ptCount val="5"/>
                <c:pt idx="0">
                  <c:v>April</c:v>
                </c:pt>
                <c:pt idx="1">
                  <c:v>May</c:v>
                </c:pt>
                <c:pt idx="2">
                  <c:v>June</c:v>
                </c:pt>
                <c:pt idx="3">
                  <c:v>July</c:v>
                </c:pt>
                <c:pt idx="4">
                  <c:v>Aug</c:v>
                </c:pt>
              </c:strCache>
            </c:strRef>
          </c:cat>
          <c:val>
            <c:numRef>
              <c:f>'Total by grade'!$E$2:$I$2</c:f>
              <c:numCache>
                <c:formatCode>#,##0</c:formatCode>
                <c:ptCount val="5"/>
                <c:pt idx="0">
                  <c:v>2638.0</c:v>
                </c:pt>
                <c:pt idx="1">
                  <c:v>2681.0</c:v>
                </c:pt>
                <c:pt idx="2">
                  <c:v>2498.0</c:v>
                </c:pt>
                <c:pt idx="3">
                  <c:v>2130.0</c:v>
                </c:pt>
                <c:pt idx="4">
                  <c:v>2086.0</c:v>
                </c:pt>
              </c:numCache>
            </c:numRef>
          </c:val>
        </c:ser>
        <c:ser>
          <c:idx val="1"/>
          <c:order val="1"/>
          <c:tx>
            <c:strRef>
              <c:f>'Total by grade'!$D$3</c:f>
              <c:strCache>
                <c:ptCount val="1"/>
                <c:pt idx="0">
                  <c:v>Basra Heavy</c:v>
                </c:pt>
              </c:strCache>
            </c:strRef>
          </c:tx>
          <c:invertIfNegative val="0"/>
          <c:cat>
            <c:strRef>
              <c:f>'Total by grade'!$E$1:$I$1</c:f>
              <c:strCache>
                <c:ptCount val="5"/>
                <c:pt idx="0">
                  <c:v>April</c:v>
                </c:pt>
                <c:pt idx="1">
                  <c:v>May</c:v>
                </c:pt>
                <c:pt idx="2">
                  <c:v>June</c:v>
                </c:pt>
                <c:pt idx="3">
                  <c:v>July</c:v>
                </c:pt>
                <c:pt idx="4">
                  <c:v>Aug</c:v>
                </c:pt>
              </c:strCache>
            </c:strRef>
          </c:cat>
          <c:val>
            <c:numRef>
              <c:f>'Total by grade'!$E$3:$I$3</c:f>
              <c:numCache>
                <c:formatCode>General</c:formatCode>
                <c:ptCount val="5"/>
                <c:pt idx="0">
                  <c:v>0.0</c:v>
                </c:pt>
                <c:pt idx="1">
                  <c:v>0.0</c:v>
                </c:pt>
                <c:pt idx="2">
                  <c:v>592.0</c:v>
                </c:pt>
                <c:pt idx="3">
                  <c:v>827.0</c:v>
                </c:pt>
                <c:pt idx="4">
                  <c:v>900.0</c:v>
                </c:pt>
              </c:numCache>
            </c:numRef>
          </c:val>
        </c:ser>
        <c:ser>
          <c:idx val="2"/>
          <c:order val="2"/>
          <c:tx>
            <c:strRef>
              <c:f>'Total by grade'!$D$4</c:f>
              <c:strCache>
                <c:ptCount val="1"/>
                <c:pt idx="0">
                  <c:v>Total</c:v>
                </c:pt>
              </c:strCache>
            </c:strRef>
          </c:tx>
          <c:invertIfNegative val="0"/>
          <c:cat>
            <c:strRef>
              <c:f>'Total by grade'!$E$1:$I$1</c:f>
              <c:strCache>
                <c:ptCount val="5"/>
                <c:pt idx="0">
                  <c:v>April</c:v>
                </c:pt>
                <c:pt idx="1">
                  <c:v>May</c:v>
                </c:pt>
                <c:pt idx="2">
                  <c:v>June</c:v>
                </c:pt>
                <c:pt idx="3">
                  <c:v>July</c:v>
                </c:pt>
                <c:pt idx="4">
                  <c:v>Aug</c:v>
                </c:pt>
              </c:strCache>
            </c:strRef>
          </c:cat>
          <c:val>
            <c:numRef>
              <c:f>'Total by grade'!$E$4:$I$4</c:f>
              <c:numCache>
                <c:formatCode>#,##0</c:formatCode>
                <c:ptCount val="5"/>
                <c:pt idx="0">
                  <c:v>2638.0</c:v>
                </c:pt>
                <c:pt idx="1">
                  <c:v>2681.0</c:v>
                </c:pt>
                <c:pt idx="2">
                  <c:v>3090.0</c:v>
                </c:pt>
                <c:pt idx="3">
                  <c:v>2957.0</c:v>
                </c:pt>
                <c:pt idx="4">
                  <c:v>2986.0</c:v>
                </c:pt>
              </c:numCache>
            </c:numRef>
          </c:val>
        </c:ser>
        <c:dLbls>
          <c:showLegendKey val="0"/>
          <c:showVal val="0"/>
          <c:showCatName val="0"/>
          <c:showSerName val="0"/>
          <c:showPercent val="0"/>
          <c:showBubbleSize val="0"/>
        </c:dLbls>
        <c:gapWidth val="150"/>
        <c:axId val="2110934680"/>
        <c:axId val="2110914376"/>
      </c:barChart>
      <c:catAx>
        <c:axId val="2110934680"/>
        <c:scaling>
          <c:orientation val="minMax"/>
        </c:scaling>
        <c:delete val="0"/>
        <c:axPos val="b"/>
        <c:numFmt formatCode="General" sourceLinked="0"/>
        <c:majorTickMark val="out"/>
        <c:minorTickMark val="none"/>
        <c:tickLblPos val="nextTo"/>
        <c:crossAx val="2110914376"/>
        <c:crosses val="autoZero"/>
        <c:auto val="1"/>
        <c:lblAlgn val="ctr"/>
        <c:lblOffset val="100"/>
        <c:noMultiLvlLbl val="0"/>
      </c:catAx>
      <c:valAx>
        <c:axId val="2110914376"/>
        <c:scaling>
          <c:orientation val="minMax"/>
        </c:scaling>
        <c:delete val="0"/>
        <c:axPos val="l"/>
        <c:majorGridlines/>
        <c:numFmt formatCode="#,##0" sourceLinked="1"/>
        <c:majorTickMark val="out"/>
        <c:minorTickMark val="none"/>
        <c:tickLblPos val="nextTo"/>
        <c:crossAx val="211093468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sz="1100">
                <a:latin typeface="Calibri"/>
                <a:cs typeface="Calibri"/>
              </a:rPr>
              <a:t>Basra</a:t>
            </a:r>
            <a:r>
              <a:rPr lang="en-US" sz="1100" baseline="0">
                <a:latin typeface="Calibri"/>
                <a:cs typeface="Calibri"/>
              </a:rPr>
              <a:t> exports by terminal</a:t>
            </a:r>
            <a:endParaRPr lang="en-US" sz="1100">
              <a:latin typeface="Calibri"/>
              <a:cs typeface="Calibri"/>
            </a:endParaRPr>
          </a:p>
        </c:rich>
      </c:tx>
      <c:overlay val="0"/>
    </c:title>
    <c:autoTitleDeleted val="0"/>
    <c:plotArea>
      <c:layout/>
      <c:barChart>
        <c:barDir val="col"/>
        <c:grouping val="clustered"/>
        <c:varyColors val="0"/>
        <c:ser>
          <c:idx val="0"/>
          <c:order val="0"/>
          <c:tx>
            <c:strRef>
              <c:f>TOTALS!$A$2</c:f>
              <c:strCache>
                <c:ptCount val="1"/>
                <c:pt idx="0">
                  <c:v>Total</c:v>
                </c:pt>
              </c:strCache>
            </c:strRef>
          </c:tx>
          <c:invertIfNegative val="0"/>
          <c:cat>
            <c:strRef>
              <c:f>TOTALS!$B$1:$F$1</c:f>
              <c:strCache>
                <c:ptCount val="5"/>
                <c:pt idx="0">
                  <c:v>April</c:v>
                </c:pt>
                <c:pt idx="1">
                  <c:v>May</c:v>
                </c:pt>
                <c:pt idx="2">
                  <c:v>June</c:v>
                </c:pt>
                <c:pt idx="3">
                  <c:v>July</c:v>
                </c:pt>
                <c:pt idx="4">
                  <c:v>Aug</c:v>
                </c:pt>
              </c:strCache>
            </c:strRef>
          </c:cat>
          <c:val>
            <c:numRef>
              <c:f>TOTALS!$B$2:$F$2</c:f>
              <c:numCache>
                <c:formatCode>#,##0</c:formatCode>
                <c:ptCount val="5"/>
                <c:pt idx="0">
                  <c:v>2637.0</c:v>
                </c:pt>
                <c:pt idx="1">
                  <c:v>2681.0</c:v>
                </c:pt>
                <c:pt idx="2">
                  <c:v>3123.0</c:v>
                </c:pt>
                <c:pt idx="3">
                  <c:v>2975.0</c:v>
                </c:pt>
                <c:pt idx="4">
                  <c:v>2891.0</c:v>
                </c:pt>
              </c:numCache>
            </c:numRef>
          </c:val>
        </c:ser>
        <c:ser>
          <c:idx val="1"/>
          <c:order val="1"/>
          <c:tx>
            <c:strRef>
              <c:f>TOTALS!$A$3</c:f>
              <c:strCache>
                <c:ptCount val="1"/>
                <c:pt idx="0">
                  <c:v>SPMs</c:v>
                </c:pt>
              </c:strCache>
            </c:strRef>
          </c:tx>
          <c:invertIfNegative val="0"/>
          <c:cat>
            <c:strRef>
              <c:f>TOTALS!$B$1:$F$1</c:f>
              <c:strCache>
                <c:ptCount val="5"/>
                <c:pt idx="0">
                  <c:v>April</c:v>
                </c:pt>
                <c:pt idx="1">
                  <c:v>May</c:v>
                </c:pt>
                <c:pt idx="2">
                  <c:v>June</c:v>
                </c:pt>
                <c:pt idx="3">
                  <c:v>July</c:v>
                </c:pt>
                <c:pt idx="4">
                  <c:v>Aug</c:v>
                </c:pt>
              </c:strCache>
            </c:strRef>
          </c:cat>
          <c:val>
            <c:numRef>
              <c:f>TOTALS!$B$3:$F$3</c:f>
              <c:numCache>
                <c:formatCode>#,##0</c:formatCode>
                <c:ptCount val="5"/>
                <c:pt idx="0" formatCode="General">
                  <c:v>926.0</c:v>
                </c:pt>
                <c:pt idx="1">
                  <c:v>1118.0</c:v>
                </c:pt>
                <c:pt idx="2">
                  <c:v>1432.0</c:v>
                </c:pt>
                <c:pt idx="3">
                  <c:v>1408.0</c:v>
                </c:pt>
                <c:pt idx="4">
                  <c:v>1268.0</c:v>
                </c:pt>
              </c:numCache>
            </c:numRef>
          </c:val>
        </c:ser>
        <c:ser>
          <c:idx val="2"/>
          <c:order val="2"/>
          <c:tx>
            <c:strRef>
              <c:f>TOTALS!$A$4</c:f>
              <c:strCache>
                <c:ptCount val="1"/>
                <c:pt idx="0">
                  <c:v>BOTs</c:v>
                </c:pt>
              </c:strCache>
            </c:strRef>
          </c:tx>
          <c:invertIfNegative val="0"/>
          <c:cat>
            <c:strRef>
              <c:f>TOTALS!$B$1:$F$1</c:f>
              <c:strCache>
                <c:ptCount val="5"/>
                <c:pt idx="0">
                  <c:v>April</c:v>
                </c:pt>
                <c:pt idx="1">
                  <c:v>May</c:v>
                </c:pt>
                <c:pt idx="2">
                  <c:v>June</c:v>
                </c:pt>
                <c:pt idx="3">
                  <c:v>July</c:v>
                </c:pt>
                <c:pt idx="4">
                  <c:v>Aug</c:v>
                </c:pt>
              </c:strCache>
            </c:strRef>
          </c:cat>
          <c:val>
            <c:numRef>
              <c:f>TOTALS!$B$4:$F$4</c:f>
              <c:numCache>
                <c:formatCode>#,##0</c:formatCode>
                <c:ptCount val="5"/>
                <c:pt idx="0">
                  <c:v>1712.0</c:v>
                </c:pt>
                <c:pt idx="1">
                  <c:v>1563.0</c:v>
                </c:pt>
                <c:pt idx="2">
                  <c:v>1691.0</c:v>
                </c:pt>
                <c:pt idx="3">
                  <c:v>1567.0</c:v>
                </c:pt>
                <c:pt idx="4">
                  <c:v>1623.0</c:v>
                </c:pt>
              </c:numCache>
            </c:numRef>
          </c:val>
        </c:ser>
        <c:dLbls>
          <c:showLegendKey val="0"/>
          <c:showVal val="0"/>
          <c:showCatName val="0"/>
          <c:showSerName val="0"/>
          <c:showPercent val="0"/>
          <c:showBubbleSize val="0"/>
        </c:dLbls>
        <c:gapWidth val="150"/>
        <c:axId val="2123037848"/>
        <c:axId val="2123040904"/>
      </c:barChart>
      <c:catAx>
        <c:axId val="2123037848"/>
        <c:scaling>
          <c:orientation val="minMax"/>
        </c:scaling>
        <c:delete val="0"/>
        <c:axPos val="b"/>
        <c:numFmt formatCode="General" sourceLinked="0"/>
        <c:majorTickMark val="out"/>
        <c:minorTickMark val="none"/>
        <c:tickLblPos val="nextTo"/>
        <c:crossAx val="2123040904"/>
        <c:crosses val="autoZero"/>
        <c:auto val="1"/>
        <c:lblAlgn val="ctr"/>
        <c:lblOffset val="100"/>
        <c:noMultiLvlLbl val="0"/>
      </c:catAx>
      <c:valAx>
        <c:axId val="2123040904"/>
        <c:scaling>
          <c:orientation val="minMax"/>
        </c:scaling>
        <c:delete val="0"/>
        <c:axPos val="l"/>
        <c:majorGridlines/>
        <c:numFmt formatCode="#,##0" sourceLinked="1"/>
        <c:majorTickMark val="out"/>
        <c:minorTickMark val="none"/>
        <c:tickLblPos val="nextTo"/>
        <c:crossAx val="2123037848"/>
        <c:crosses val="autoZero"/>
        <c:crossBetween val="between"/>
      </c:valAx>
    </c:plotArea>
    <c:legend>
      <c:legendPos val="r"/>
      <c:overlay val="0"/>
    </c:legend>
    <c:plotVisOnly val="1"/>
    <c:dispBlanksAs val="gap"/>
    <c:showDLblsOverMax val="0"/>
  </c:chart>
  <c:externalData r:id="rId1">
    <c:autoUpdate val="0"/>
  </c:externalData>
</c:chartSpace>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ＭＳ ゴシック"/>
        <a:font script="Hang" typeface="HY중고딕"/>
        <a:font script="Hans" typeface="微软雅黑"/>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1348</Words>
  <Characters>7687</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9017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jared levy</dc:creator>
  <cp:keywords/>
  <dc:description/>
  <cp:lastModifiedBy>Harold Lando</cp:lastModifiedBy>
  <cp:revision>2</cp:revision>
  <dcterms:created xsi:type="dcterms:W3CDTF">2016-03-18T14:06:00Z</dcterms:created>
  <dcterms:modified xsi:type="dcterms:W3CDTF">2016-03-18T14:06:00Z</dcterms:modified>
</cp:coreProperties>
</file>